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1FFBB388" w:rsidR="00A2208A" w:rsidRPr="00B55C47" w:rsidRDefault="00F002EE" w:rsidP="00A2208A">
      <w:pPr>
        <w:tabs>
          <w:tab w:val="center" w:pos="4153"/>
          <w:tab w:val="right" w:pos="9923"/>
        </w:tabs>
        <w:spacing w:after="120" w:line="240" w:lineRule="auto"/>
        <w:jc w:val="both"/>
        <w:rPr>
          <w:rFonts w:eastAsia="Malgun Gothic"/>
          <w:b/>
          <w:bCs/>
          <w:sz w:val="28"/>
          <w:lang w:eastAsia="ko-KR"/>
        </w:rPr>
      </w:pPr>
      <w:r w:rsidRPr="00B55C47">
        <w:rPr>
          <w:rFonts w:eastAsia="Malgun Gothic"/>
          <w:b/>
          <w:bCs/>
          <w:sz w:val="28"/>
        </w:rPr>
        <w:t xml:space="preserve">3GPP TSG RAN WG5 </w:t>
      </w:r>
      <w:r w:rsidR="006B5C72">
        <w:rPr>
          <w:rFonts w:eastAsia="Malgun Gothic"/>
          <w:b/>
          <w:bCs/>
          <w:sz w:val="28"/>
        </w:rPr>
        <w:t>#4-5G-NR Adhoc</w:t>
      </w:r>
      <w:r w:rsidR="00BC6E8D">
        <w:rPr>
          <w:rFonts w:eastAsia="Malgun Gothic"/>
          <w:b/>
          <w:bCs/>
          <w:sz w:val="28"/>
        </w:rPr>
        <w:tab/>
      </w:r>
      <w:r w:rsidR="00A2208A" w:rsidRPr="00C94B58">
        <w:rPr>
          <w:rFonts w:eastAsia="Malgun Gothic"/>
          <w:b/>
          <w:bCs/>
          <w:sz w:val="28"/>
        </w:rPr>
        <w:t>R5-1</w:t>
      </w:r>
      <w:r w:rsidR="00C94B58" w:rsidRPr="00C94B58">
        <w:rPr>
          <w:rFonts w:eastAsia="Malgun Gothic"/>
          <w:b/>
          <w:bCs/>
          <w:sz w:val="28"/>
        </w:rPr>
        <w:t>9</w:t>
      </w:r>
      <w:r w:rsidR="00B254A5">
        <w:rPr>
          <w:rFonts w:eastAsia="Malgun Gothic"/>
          <w:b/>
          <w:bCs/>
          <w:sz w:val="28"/>
        </w:rPr>
        <w:t>0566</w:t>
      </w:r>
      <w:bookmarkStart w:id="0" w:name="_GoBack"/>
      <w:bookmarkEnd w:id="0"/>
    </w:p>
    <w:p w14:paraId="4A54CA72" w14:textId="4499B517" w:rsidR="00A2208A" w:rsidRPr="00B55C47" w:rsidRDefault="006B5C72"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Singapore</w:t>
      </w:r>
      <w:r w:rsidR="00725DCB" w:rsidRPr="00B55C47">
        <w:rPr>
          <w:rFonts w:eastAsia="Malgun Gothic"/>
          <w:b/>
          <w:bCs/>
          <w:sz w:val="28"/>
          <w:lang w:eastAsia="ko-KR"/>
        </w:rPr>
        <w:t xml:space="preserve">, </w:t>
      </w:r>
      <w:r w:rsidR="00BC6E8D">
        <w:rPr>
          <w:rFonts w:eastAsia="Malgun Gothic"/>
          <w:b/>
          <w:bCs/>
          <w:sz w:val="28"/>
          <w:lang w:eastAsia="ko-KR"/>
        </w:rPr>
        <w:t>2</w:t>
      </w:r>
      <w:r>
        <w:rPr>
          <w:rFonts w:eastAsia="Malgun Gothic"/>
          <w:b/>
          <w:bCs/>
          <w:sz w:val="28"/>
          <w:lang w:eastAsia="ko-KR"/>
        </w:rPr>
        <w:t>1</w:t>
      </w:r>
      <w:r>
        <w:rPr>
          <w:rFonts w:eastAsia="Malgun Gothic"/>
          <w:b/>
          <w:bCs/>
          <w:sz w:val="28"/>
          <w:vertAlign w:val="superscript"/>
          <w:lang w:eastAsia="ko-KR"/>
        </w:rPr>
        <w:t>st</w:t>
      </w:r>
      <w:r w:rsidR="00725DCB" w:rsidRPr="00B55C47">
        <w:rPr>
          <w:rFonts w:eastAsia="Malgun Gothic"/>
          <w:b/>
          <w:bCs/>
          <w:sz w:val="28"/>
          <w:lang w:eastAsia="ko-KR"/>
        </w:rPr>
        <w:t xml:space="preserve"> – </w:t>
      </w:r>
      <w:r>
        <w:rPr>
          <w:rFonts w:eastAsia="Malgun Gothic"/>
          <w:b/>
          <w:bCs/>
          <w:sz w:val="28"/>
          <w:lang w:eastAsia="ko-KR"/>
        </w:rPr>
        <w:t>25</w:t>
      </w:r>
      <w:r w:rsidR="00725DCB" w:rsidRPr="00B55C47">
        <w:rPr>
          <w:rFonts w:eastAsia="Malgun Gothic"/>
          <w:b/>
          <w:bCs/>
          <w:sz w:val="28"/>
          <w:vertAlign w:val="superscript"/>
          <w:lang w:eastAsia="ko-KR"/>
        </w:rPr>
        <w:t>th</w:t>
      </w:r>
      <w:r w:rsidR="00725DCB" w:rsidRPr="00B55C47">
        <w:rPr>
          <w:rFonts w:eastAsia="Malgun Gothic"/>
          <w:b/>
          <w:bCs/>
          <w:sz w:val="28"/>
          <w:lang w:eastAsia="ko-KR"/>
        </w:rPr>
        <w:t xml:space="preserve"> </w:t>
      </w:r>
      <w:r>
        <w:rPr>
          <w:rFonts w:eastAsia="Malgun Gothic"/>
          <w:b/>
          <w:bCs/>
          <w:sz w:val="28"/>
          <w:lang w:eastAsia="ko-KR"/>
        </w:rPr>
        <w:t>January 2019</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510CF754" w:rsidR="00A2208A" w:rsidRPr="00BC6E8D" w:rsidRDefault="00A2208A" w:rsidP="00A2208A">
      <w:pPr>
        <w:ind w:left="2160" w:hanging="2160"/>
      </w:pPr>
      <w:r w:rsidRPr="00B55C47">
        <w:rPr>
          <w:b/>
        </w:rPr>
        <w:t>Title:</w:t>
      </w:r>
      <w:r w:rsidRPr="00B55C47">
        <w:rPr>
          <w:b/>
        </w:rPr>
        <w:tab/>
      </w:r>
      <w:r w:rsidR="00670CFC" w:rsidRPr="00670CFC">
        <w:t>Discussion on measurement uncertainty in FR2</w:t>
      </w:r>
    </w:p>
    <w:p w14:paraId="0483421E" w14:textId="03BCE726" w:rsidR="00A2208A" w:rsidRPr="00B55C47" w:rsidRDefault="00A2208A" w:rsidP="00A2208A">
      <w:pPr>
        <w:rPr>
          <w:bCs/>
          <w:lang w:eastAsia="ja-JP"/>
        </w:rPr>
      </w:pPr>
      <w:r w:rsidRPr="00B55C47">
        <w:rPr>
          <w:b/>
        </w:rPr>
        <w:t>Agenda Item:</w:t>
      </w:r>
      <w:r w:rsidR="00BB2F5E" w:rsidRPr="00B55C47">
        <w:tab/>
      </w:r>
      <w:r w:rsidR="00BB2F5E" w:rsidRPr="00B55C47">
        <w:tab/>
        <w:t>5.</w:t>
      </w:r>
      <w:r w:rsidR="006B5C72">
        <w:t>1.15</w:t>
      </w:r>
    </w:p>
    <w:p w14:paraId="3A8C349E" w14:textId="77777777" w:rsidR="00A2208A" w:rsidRPr="00B55C47" w:rsidRDefault="00A2208A" w:rsidP="00A2208A">
      <w:pPr>
        <w:rPr>
          <w:sz w:val="18"/>
          <w:szCs w:val="18"/>
        </w:rPr>
      </w:pPr>
      <w:r w:rsidRPr="00B55C47">
        <w:rPr>
          <w:b/>
        </w:rPr>
        <w:t>Document for:</w:t>
      </w:r>
      <w:r w:rsidRPr="00B55C47">
        <w:tab/>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7AEBD28B" w:rsidR="00F002EE" w:rsidRPr="00B55C47" w:rsidRDefault="00BC6E8D" w:rsidP="008159B1">
      <w:pPr>
        <w:jc w:val="both"/>
      </w:pPr>
      <w:bookmarkStart w:id="1" w:name="OLE_LINK10"/>
      <w:bookmarkStart w:id="2" w:name="OLE_LINK11"/>
      <w:r>
        <w:t>In this document measurement uncertainty contributions are analyzed for a</w:t>
      </w:r>
      <w:r w:rsidR="00DD524F">
        <w:t>n</w:t>
      </w:r>
      <w:r>
        <w:t xml:space="preserve"> IFF system for a DUT size of 30 cm. </w:t>
      </w:r>
    </w:p>
    <w:p w14:paraId="59D92B3E" w14:textId="2BA36134" w:rsidR="00FC45FA" w:rsidRDefault="00BC6E8D" w:rsidP="00FC45FA">
      <w:pPr>
        <w:pStyle w:val="berschrift1"/>
        <w:rPr>
          <w:lang w:val="en-US"/>
        </w:rPr>
      </w:pPr>
      <w:r>
        <w:rPr>
          <w:lang w:val="en-US"/>
        </w:rPr>
        <w:t>Discussion</w:t>
      </w:r>
    </w:p>
    <w:p w14:paraId="7618C77D" w14:textId="7B54B0C3" w:rsidR="009D3C74" w:rsidRDefault="009D3C74" w:rsidP="009D3C74">
      <w:pPr>
        <w:pStyle w:val="berschrift2"/>
      </w:pPr>
      <w:r w:rsidRPr="0085746B">
        <w:t>Positioning misalignment</w:t>
      </w:r>
    </w:p>
    <w:p w14:paraId="2C5CDDF4" w14:textId="61949779" w:rsidR="006B5C72" w:rsidRDefault="006B5C72" w:rsidP="009D3C74">
      <w:pPr>
        <w:rPr>
          <w:lang w:eastAsia="en-US"/>
        </w:rPr>
      </w:pPr>
      <w:r>
        <w:rPr>
          <w:lang w:eastAsia="en-US"/>
        </w:rPr>
        <w:t>At RAN5 #81, the MU contributor positioning misalignment has been discussed in [1]</w:t>
      </w:r>
      <w:r w:rsidR="005F0749">
        <w:rPr>
          <w:lang w:eastAsia="en-US"/>
        </w:rPr>
        <w:t>. In order to foster agreement on this term a more detailed analysis is provided in this paper.</w:t>
      </w:r>
    </w:p>
    <w:p w14:paraId="4286DEFF" w14:textId="474D7B7C" w:rsidR="009D3C74" w:rsidRDefault="009D3C74" w:rsidP="009D3C74">
      <w:pPr>
        <w:rPr>
          <w:lang w:eastAsia="en-US"/>
        </w:rPr>
      </w:pPr>
      <w:r w:rsidRPr="009D3C74">
        <w:rPr>
          <w:lang w:eastAsia="en-US"/>
        </w:rPr>
        <w:t>In TR 38.903 [</w:t>
      </w:r>
      <w:r w:rsidR="006B5C72">
        <w:rPr>
          <w:lang w:eastAsia="en-US"/>
        </w:rPr>
        <w:t>2</w:t>
      </w:r>
      <w:r w:rsidRPr="009D3C74">
        <w:rPr>
          <w:lang w:eastAsia="en-US"/>
        </w:rPr>
        <w:t xml:space="preserve">] positioning misalignment is defined </w:t>
      </w:r>
      <w:r>
        <w:rPr>
          <w:lang w:eastAsia="en-US"/>
        </w:rPr>
        <w:t>for DFF</w:t>
      </w:r>
      <w:r w:rsidRPr="009D3C74">
        <w:rPr>
          <w:lang w:eastAsia="en-US"/>
        </w:rPr>
        <w:t xml:space="preserve"> in clause B</w:t>
      </w:r>
      <w:r>
        <w:rPr>
          <w:lang w:eastAsia="en-US"/>
        </w:rPr>
        <w:t>.2.1.1 and the description for IFF refers to the same clause:</w:t>
      </w:r>
      <w:bookmarkStart w:id="3" w:name="_Toc525048046"/>
    </w:p>
    <w:p w14:paraId="02AE9C73" w14:textId="4F77D082" w:rsidR="009D3C74" w:rsidRPr="009D3C74" w:rsidRDefault="009D3C74" w:rsidP="009D3C74">
      <w:pPr>
        <w:rPr>
          <w:i/>
          <w:highlight w:val="lightGray"/>
          <w:lang w:eastAsia="en-US"/>
        </w:rPr>
      </w:pPr>
      <w:r w:rsidRPr="009D3C74">
        <w:rPr>
          <w:rFonts w:cs="Times New Roman"/>
          <w:i/>
          <w:sz w:val="28"/>
          <w:szCs w:val="20"/>
          <w:highlight w:val="lightGray"/>
          <w:lang w:val="en-GB" w:eastAsia="ja-JP"/>
        </w:rPr>
        <w:t>B.2.1.1</w:t>
      </w:r>
      <w:r w:rsidRPr="009D3C74">
        <w:rPr>
          <w:rFonts w:cs="Times New Roman"/>
          <w:i/>
          <w:sz w:val="28"/>
          <w:szCs w:val="20"/>
          <w:highlight w:val="lightGray"/>
          <w:lang w:val="en-GB" w:eastAsia="ja-JP"/>
        </w:rPr>
        <w:tab/>
        <w:t>Positioning misalignment</w:t>
      </w:r>
      <w:bookmarkEnd w:id="3"/>
      <w:r w:rsidRPr="009D3C74">
        <w:rPr>
          <w:rFonts w:cs="Times New Roman"/>
          <w:i/>
          <w:sz w:val="28"/>
          <w:szCs w:val="20"/>
          <w:highlight w:val="lightGray"/>
          <w:lang w:val="en-GB" w:eastAsia="ja-JP"/>
        </w:rPr>
        <w:t xml:space="preserve"> </w:t>
      </w:r>
    </w:p>
    <w:p w14:paraId="7FB49F25" w14:textId="7C1F37BC" w:rsidR="009D3C74" w:rsidRDefault="009D3C74" w:rsidP="009D3C74">
      <w:pPr>
        <w:spacing w:after="180" w:line="240" w:lineRule="auto"/>
        <w:rPr>
          <w:rFonts w:ascii="Times New Roman" w:hAnsi="Times New Roman" w:cs="Times New Roman"/>
          <w:i/>
          <w:sz w:val="20"/>
          <w:szCs w:val="20"/>
          <w:lang w:val="en-GB" w:eastAsia="en-US"/>
        </w:rPr>
      </w:pPr>
      <w:r w:rsidRPr="009D3C74">
        <w:rPr>
          <w:rFonts w:ascii="Times New Roman" w:hAnsi="Times New Roman" w:cs="Times New Roman"/>
          <w:i/>
          <w:sz w:val="20"/>
          <w:szCs w:val="20"/>
          <w:highlight w:val="lightGray"/>
          <w:lang w:val="en-GB" w:eastAsia="en-US"/>
        </w:rPr>
        <w:t>This contribution originates from the misalignment of the testing direction and the beam peak direction of the measurement antenna due to imperfect rotation operation. The pointing misalignment may happen in both azimuth and vertical directions and the effect of the misalignment depends highly on the beam width of the beam under test. The same level of misalignment results in a larger measurement error for a narrower beam.</w:t>
      </w:r>
    </w:p>
    <w:p w14:paraId="315BBED2" w14:textId="562E9050" w:rsidR="00C94B58" w:rsidRDefault="00C17423" w:rsidP="00C17423">
      <w:pPr>
        <w:rPr>
          <w:lang w:eastAsia="en-US"/>
        </w:rPr>
      </w:pPr>
      <w:r>
        <w:rPr>
          <w:lang w:eastAsia="en-US"/>
        </w:rPr>
        <w:t xml:space="preserve">As </w:t>
      </w:r>
      <w:r w:rsidRPr="00C17423">
        <w:rPr>
          <w:lang w:eastAsia="en-US"/>
        </w:rPr>
        <w:t>EIRP measurements</w:t>
      </w:r>
      <w:r>
        <w:rPr>
          <w:lang w:eastAsia="en-US"/>
        </w:rPr>
        <w:t xml:space="preserve"> are carried out at the beam peak direction, this uncertainty contribution is related to the repeatability of </w:t>
      </w:r>
      <w:r w:rsidR="001F67E5">
        <w:rPr>
          <w:lang w:eastAsia="en-US"/>
        </w:rPr>
        <w:t xml:space="preserve">angle </w:t>
      </w:r>
      <w:r>
        <w:rPr>
          <w:lang w:eastAsia="en-US"/>
        </w:rPr>
        <w:t>positioning</w:t>
      </w:r>
      <w:r w:rsidR="001F67E5">
        <w:rPr>
          <w:lang w:eastAsia="en-US"/>
        </w:rPr>
        <w:t xml:space="preserve"> between the beam peak search measurement and the EIRP measurement</w:t>
      </w:r>
      <w:r>
        <w:rPr>
          <w:lang w:eastAsia="en-US"/>
        </w:rPr>
        <w:t xml:space="preserve">. In order to save test time, positions are not always moved to from the same direction, e.g., always with increasing azimuth angles and therefore the back lash has to be accounted for. The </w:t>
      </w:r>
      <w:r w:rsidR="001F67E5">
        <w:rPr>
          <w:lang w:eastAsia="en-US"/>
        </w:rPr>
        <w:t>angle deviation</w:t>
      </w:r>
      <w:r>
        <w:rPr>
          <w:lang w:eastAsia="en-US"/>
        </w:rPr>
        <w:t xml:space="preserve"> due to repeatability when positioning always from the same direction </w:t>
      </w:r>
      <w:r w:rsidR="001F67E5">
        <w:rPr>
          <w:lang w:eastAsia="en-US"/>
        </w:rPr>
        <w:t>is approximately 0.02</w:t>
      </w:r>
      <w:r w:rsidR="009319CB">
        <w:rPr>
          <w:lang w:eastAsia="en-US"/>
        </w:rPr>
        <w:t>°</w:t>
      </w:r>
      <w:r w:rsidR="008029D6">
        <w:rPr>
          <w:lang w:eastAsia="en-US"/>
        </w:rPr>
        <w:t xml:space="preserve"> in our system</w:t>
      </w:r>
      <w:r w:rsidR="001F67E5">
        <w:rPr>
          <w:lang w:eastAsia="en-US"/>
        </w:rPr>
        <w:t>. W</w:t>
      </w:r>
      <w:r w:rsidR="008029D6">
        <w:rPr>
          <w:lang w:eastAsia="en-US"/>
        </w:rPr>
        <w:t>ith</w:t>
      </w:r>
      <w:r w:rsidR="001F67E5">
        <w:rPr>
          <w:lang w:eastAsia="en-US"/>
        </w:rPr>
        <w:t xml:space="preserve"> </w:t>
      </w:r>
      <w:r>
        <w:rPr>
          <w:lang w:eastAsia="en-US"/>
        </w:rPr>
        <w:t>back lash</w:t>
      </w:r>
      <w:r w:rsidR="001F67E5">
        <w:rPr>
          <w:lang w:eastAsia="en-US"/>
        </w:rPr>
        <w:t xml:space="preserve"> the angle deviation</w:t>
      </w:r>
      <w:r w:rsidR="00C94B58">
        <w:rPr>
          <w:lang w:eastAsia="en-US"/>
        </w:rPr>
        <w:t xml:space="preserve"> </w:t>
      </w:r>
      <w:r w:rsidR="004D0D9B">
        <w:rPr>
          <w:lang w:eastAsia="en-US"/>
        </w:rPr>
        <w:t xml:space="preserve">is </w:t>
      </w:r>
      <w:r w:rsidR="00C94B58">
        <w:rPr>
          <w:lang w:eastAsia="en-US"/>
        </w:rPr>
        <w:t xml:space="preserve">smaller than </w:t>
      </w:r>
      <w:r>
        <w:rPr>
          <w:lang w:eastAsia="en-US"/>
        </w:rPr>
        <w:t>0.15</w:t>
      </w:r>
      <w:r w:rsidR="00A236DD">
        <w:rPr>
          <w:lang w:eastAsia="en-US"/>
        </w:rPr>
        <w:t xml:space="preserve">° </w:t>
      </w:r>
      <w:r>
        <w:rPr>
          <w:lang w:eastAsia="en-US"/>
        </w:rPr>
        <w:t xml:space="preserve">for the azimuth axis. </w:t>
      </w:r>
      <w:r w:rsidR="00C94B58">
        <w:rPr>
          <w:lang w:eastAsia="en-US"/>
        </w:rPr>
        <w:t>Due to the design of our positioner, there is no back lash in the elevation axis when operated in the range from 0</w:t>
      </w:r>
      <w:r w:rsidR="009319CB">
        <w:rPr>
          <w:lang w:eastAsia="en-US"/>
        </w:rPr>
        <w:t>°</w:t>
      </w:r>
      <w:r w:rsidR="00C94B58">
        <w:rPr>
          <w:lang w:eastAsia="en-US"/>
        </w:rPr>
        <w:t xml:space="preserve"> to 180</w:t>
      </w:r>
      <w:r w:rsidR="009319CB">
        <w:rPr>
          <w:lang w:eastAsia="en-US"/>
        </w:rPr>
        <w:t>°</w:t>
      </w:r>
      <w:r w:rsidR="00C94B58">
        <w:rPr>
          <w:lang w:eastAsia="en-US"/>
        </w:rPr>
        <w:t xml:space="preserve"> which allows </w:t>
      </w:r>
      <w:r w:rsidR="00A8281C">
        <w:rPr>
          <w:lang w:eastAsia="en-US"/>
        </w:rPr>
        <w:t xml:space="preserve">for </w:t>
      </w:r>
      <w:r w:rsidR="00C94B58">
        <w:rPr>
          <w:lang w:eastAsia="en-US"/>
        </w:rPr>
        <w:t>a full spherical scan.</w:t>
      </w:r>
    </w:p>
    <w:p w14:paraId="54AA228E" w14:textId="33A0915F" w:rsidR="00C17423" w:rsidRDefault="00A236DD" w:rsidP="00C17423">
      <w:pPr>
        <w:rPr>
          <w:lang w:eastAsia="en-US"/>
        </w:rPr>
      </w:pPr>
      <w:r>
        <w:rPr>
          <w:lang w:eastAsia="en-US"/>
        </w:rPr>
        <w:t>For the analysis of the misalignment uncertainty, an 8</w:t>
      </w:r>
      <w:r w:rsidR="00C45247">
        <w:t> </w:t>
      </w:r>
      <w:r>
        <w:rPr>
          <w:lang w:eastAsia="en-US"/>
        </w:rPr>
        <w:t>x</w:t>
      </w:r>
      <w:r w:rsidR="00C45247">
        <w:rPr>
          <w:lang w:eastAsia="en-US"/>
        </w:rPr>
        <w:t> </w:t>
      </w:r>
      <w:r>
        <w:rPr>
          <w:lang w:eastAsia="en-US"/>
        </w:rPr>
        <w:t xml:space="preserve">2 antenna </w:t>
      </w:r>
      <w:r w:rsidR="00C45247">
        <w:rPr>
          <w:lang w:eastAsia="en-US"/>
        </w:rPr>
        <w:t xml:space="preserve">array </w:t>
      </w:r>
      <w:r>
        <w:rPr>
          <w:lang w:eastAsia="en-US"/>
        </w:rPr>
        <w:t>pattern is assumed which is also the basis for the analysis of the uncertainty associated with the measurement grid</w:t>
      </w:r>
      <w:r w:rsidR="00A8281C">
        <w:rPr>
          <w:lang w:eastAsia="en-US"/>
        </w:rPr>
        <w:t> </w:t>
      </w:r>
      <w:r>
        <w:rPr>
          <w:lang w:eastAsia="en-US"/>
        </w:rPr>
        <w:t>[3].</w:t>
      </w:r>
      <w:r w:rsidR="00C77EBF">
        <w:rPr>
          <w:lang w:eastAsia="en-US"/>
        </w:rPr>
        <w:t xml:space="preserve"> The details of the </w:t>
      </w:r>
      <w:r w:rsidR="005F6633">
        <w:rPr>
          <w:lang w:eastAsia="en-US"/>
        </w:rPr>
        <w:t>8</w:t>
      </w:r>
      <w:r w:rsidR="00C45247">
        <w:rPr>
          <w:lang w:eastAsia="en-US"/>
        </w:rPr>
        <w:t> </w:t>
      </w:r>
      <w:r w:rsidR="005F6633">
        <w:rPr>
          <w:lang w:eastAsia="en-US"/>
        </w:rPr>
        <w:t>x</w:t>
      </w:r>
      <w:r w:rsidR="00C45247">
        <w:rPr>
          <w:lang w:eastAsia="en-US"/>
        </w:rPr>
        <w:t> </w:t>
      </w:r>
      <w:r w:rsidR="005F6633">
        <w:rPr>
          <w:lang w:eastAsia="en-US"/>
        </w:rPr>
        <w:t>2 antenna</w:t>
      </w:r>
      <w:r w:rsidR="00C45247">
        <w:rPr>
          <w:lang w:eastAsia="en-US"/>
        </w:rPr>
        <w:t xml:space="preserve"> array</w:t>
      </w:r>
      <w:r w:rsidR="005F6633">
        <w:rPr>
          <w:lang w:eastAsia="en-US"/>
        </w:rPr>
        <w:t xml:space="preserve"> pattern</w:t>
      </w:r>
      <w:r w:rsidR="00C77EBF">
        <w:rPr>
          <w:lang w:eastAsia="en-US"/>
        </w:rPr>
        <w:t xml:space="preserve"> </w:t>
      </w:r>
      <w:r w:rsidR="005F6633">
        <w:rPr>
          <w:lang w:eastAsia="en-US"/>
        </w:rPr>
        <w:t>ca</w:t>
      </w:r>
      <w:r w:rsidR="00A8281C">
        <w:rPr>
          <w:lang w:eastAsia="en-US"/>
        </w:rPr>
        <w:t>n be found in Annex G.1.1 of TR </w:t>
      </w:r>
      <w:r w:rsidR="005F6633">
        <w:rPr>
          <w:lang w:eastAsia="en-US"/>
        </w:rPr>
        <w:t>38.810 [</w:t>
      </w:r>
      <w:r w:rsidR="005E59D8">
        <w:rPr>
          <w:lang w:eastAsia="en-US"/>
        </w:rPr>
        <w:t>3</w:t>
      </w:r>
      <w:r w:rsidR="005F6633">
        <w:rPr>
          <w:lang w:eastAsia="en-US"/>
        </w:rPr>
        <w:t>]</w:t>
      </w:r>
      <w:r w:rsidR="00E053C0">
        <w:rPr>
          <w:lang w:eastAsia="en-US"/>
        </w:rPr>
        <w:t>.</w:t>
      </w:r>
    </w:p>
    <w:p w14:paraId="2764E9C5" w14:textId="6E7B0446" w:rsidR="004E02C2" w:rsidRDefault="00A236DD" w:rsidP="00C17423">
      <w:pPr>
        <w:rPr>
          <w:lang w:eastAsia="en-US"/>
        </w:rPr>
      </w:pPr>
      <w:r>
        <w:rPr>
          <w:lang w:eastAsia="en-US"/>
        </w:rPr>
        <w:lastRenderedPageBreak/>
        <w:t xml:space="preserve">Comparing the ideal EIRP beam peak value </w:t>
      </w:r>
      <w:r w:rsidR="00C45247">
        <w:rPr>
          <w:lang w:eastAsia="en-US"/>
        </w:rPr>
        <w:t>to</w:t>
      </w:r>
      <w:r>
        <w:rPr>
          <w:lang w:eastAsia="en-US"/>
        </w:rPr>
        <w:t xml:space="preserve"> the value at the position with an azimuth misalignment of 0.15° results in a </w:t>
      </w:r>
      <w:r w:rsidR="001F67E5">
        <w:rPr>
          <w:lang w:eastAsia="en-US"/>
        </w:rPr>
        <w:t xml:space="preserve">worst case </w:t>
      </w:r>
      <w:r>
        <w:rPr>
          <w:lang w:eastAsia="en-US"/>
        </w:rPr>
        <w:t>deviation of -0.0016 dB</w:t>
      </w:r>
      <w:r w:rsidR="001F67E5">
        <w:rPr>
          <w:lang w:eastAsia="en-US"/>
        </w:rPr>
        <w:t>. The latter occurs when the angle deviation is in the direction where the half power beam width of the pattern is minimal</w:t>
      </w:r>
      <w:r>
        <w:rPr>
          <w:lang w:eastAsia="en-US"/>
        </w:rPr>
        <w:t xml:space="preserve">. </w:t>
      </w:r>
    </w:p>
    <w:p w14:paraId="6937A0A3" w14:textId="7C42A524" w:rsidR="00C17423" w:rsidRDefault="004E02C2" w:rsidP="00C17423">
      <w:pPr>
        <w:rPr>
          <w:lang w:eastAsia="en-US"/>
        </w:rPr>
      </w:pPr>
      <w:r>
        <w:rPr>
          <w:lang w:eastAsia="en-US"/>
        </w:rPr>
        <w:t xml:space="preserve">For TRP the effect of back lash is </w:t>
      </w:r>
      <w:r w:rsidR="001F67E5">
        <w:rPr>
          <w:lang w:eastAsia="en-US"/>
        </w:rPr>
        <w:t xml:space="preserve">expected to be </w:t>
      </w:r>
      <w:r>
        <w:rPr>
          <w:lang w:eastAsia="en-US"/>
        </w:rPr>
        <w:t>smaller due to the inherent averaging in the integration.</w:t>
      </w:r>
    </w:p>
    <w:p w14:paraId="6EAD4F56" w14:textId="5A174278" w:rsidR="00C17423" w:rsidRPr="00C17423" w:rsidRDefault="00C17423" w:rsidP="00C17423">
      <w:pPr>
        <w:rPr>
          <w:b/>
          <w:lang w:eastAsia="en-US"/>
        </w:rPr>
      </w:pPr>
      <w:r w:rsidRPr="00C17423">
        <w:rPr>
          <w:b/>
          <w:lang w:eastAsia="en-US"/>
        </w:rPr>
        <w:t>Observation</w:t>
      </w:r>
      <w:r>
        <w:rPr>
          <w:b/>
          <w:lang w:eastAsia="en-US"/>
        </w:rPr>
        <w:t xml:space="preserve"> 1</w:t>
      </w:r>
      <w:r w:rsidRPr="00C17423">
        <w:rPr>
          <w:b/>
          <w:lang w:eastAsia="en-US"/>
        </w:rPr>
        <w:t>: Positioning misalignment describes the</w:t>
      </w:r>
      <w:r w:rsidR="008029D6">
        <w:rPr>
          <w:b/>
          <w:lang w:eastAsia="en-US"/>
        </w:rPr>
        <w:t xml:space="preserve"> measurement uncertainty due to the</w:t>
      </w:r>
      <w:r w:rsidRPr="00C17423">
        <w:rPr>
          <w:b/>
          <w:lang w:eastAsia="en-US"/>
        </w:rPr>
        <w:t xml:space="preserve"> repeatability of the positioning system</w:t>
      </w:r>
      <w:r w:rsidR="008029D6">
        <w:rPr>
          <w:b/>
          <w:lang w:eastAsia="en-US"/>
        </w:rPr>
        <w:t xml:space="preserve"> </w:t>
      </w:r>
      <w:r w:rsidRPr="00C17423">
        <w:rPr>
          <w:b/>
          <w:lang w:eastAsia="en-US"/>
        </w:rPr>
        <w:t xml:space="preserve">which </w:t>
      </w:r>
      <w:r w:rsidR="00A8281C">
        <w:rPr>
          <w:b/>
          <w:lang w:eastAsia="en-US"/>
        </w:rPr>
        <w:t>may be</w:t>
      </w:r>
      <w:r w:rsidRPr="00C17423">
        <w:rPr>
          <w:b/>
          <w:lang w:eastAsia="en-US"/>
        </w:rPr>
        <w:t xml:space="preserve"> limited by back lash. However, the effect due to back lash is </w:t>
      </w:r>
      <w:r w:rsidR="00A236DD">
        <w:rPr>
          <w:b/>
          <w:lang w:eastAsia="en-US"/>
        </w:rPr>
        <w:t>negligibl</w:t>
      </w:r>
      <w:r w:rsidR="00A8281C">
        <w:rPr>
          <w:b/>
          <w:lang w:eastAsia="en-US"/>
        </w:rPr>
        <w:t>y small.</w:t>
      </w:r>
    </w:p>
    <w:p w14:paraId="7ABD4A1F" w14:textId="49EBABAA" w:rsidR="00C17423" w:rsidRPr="00780B7D" w:rsidRDefault="00C17423" w:rsidP="009D3C74">
      <w:pPr>
        <w:rPr>
          <w:b/>
          <w:lang w:eastAsia="en-US"/>
        </w:rPr>
      </w:pPr>
      <w:r w:rsidRPr="00C17423">
        <w:rPr>
          <w:b/>
          <w:lang w:eastAsia="en-US"/>
        </w:rPr>
        <w:t>Proposal</w:t>
      </w:r>
      <w:r>
        <w:rPr>
          <w:b/>
          <w:lang w:eastAsia="en-US"/>
        </w:rPr>
        <w:t xml:space="preserve"> </w:t>
      </w:r>
      <w:r w:rsidR="00975650">
        <w:rPr>
          <w:b/>
          <w:lang w:eastAsia="en-US"/>
        </w:rPr>
        <w:t>1</w:t>
      </w:r>
      <w:r w:rsidRPr="00C17423">
        <w:rPr>
          <w:b/>
          <w:lang w:eastAsia="en-US"/>
        </w:rPr>
        <w:t xml:space="preserve">: Set the value of positioning misalignment to </w:t>
      </w:r>
      <w:r w:rsidR="00A236DD">
        <w:rPr>
          <w:b/>
          <w:lang w:eastAsia="en-US"/>
        </w:rPr>
        <w:t>0 dB</w:t>
      </w:r>
      <w:r w:rsidRPr="00C17423">
        <w:rPr>
          <w:b/>
          <w:lang w:eastAsia="en-US"/>
        </w:rPr>
        <w:t>.</w:t>
      </w:r>
    </w:p>
    <w:p w14:paraId="71A6D7CC" w14:textId="0E5B43D9" w:rsidR="00BC6E8D" w:rsidRDefault="00BC6E8D" w:rsidP="00BC6E8D">
      <w:pPr>
        <w:pStyle w:val="berschrift1"/>
      </w:pPr>
      <w:r>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F4303E">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F4303E">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F4303E">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38AF80EC" w:rsidR="00C77EBF" w:rsidRPr="00BC6E8D" w:rsidRDefault="00C77EBF" w:rsidP="00C77EBF">
            <w:pPr>
              <w:rPr>
                <w:lang w:val="en-GB" w:eastAsia="en-US"/>
              </w:rPr>
            </w:pPr>
            <w:r>
              <w:rPr>
                <w:lang w:val="en-GB" w:eastAsia="en-US"/>
              </w:rPr>
              <w:t>no influence on discussed contributors</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57DAA2C1" w:rsidR="00C77EBF" w:rsidRPr="00BC6E8D" w:rsidRDefault="008029D6" w:rsidP="00C77EBF">
            <w:pPr>
              <w:rPr>
                <w:lang w:val="en-GB" w:eastAsia="en-US"/>
              </w:rPr>
            </w:pPr>
            <w:r>
              <w:rPr>
                <w:lang w:val="en-GB" w:eastAsia="en-US"/>
              </w:rPr>
              <w:t>no influence on discussed contributors</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7777777" w:rsidR="00C77EBF" w:rsidRPr="00BC6E8D" w:rsidRDefault="00C77EBF" w:rsidP="00C77EBF">
            <w:pPr>
              <w:rPr>
                <w:lang w:val="en-GB" w:eastAsia="en-US"/>
              </w:rPr>
            </w:pPr>
            <w:r w:rsidRPr="00BC6E8D">
              <w:rPr>
                <w:lang w:val="en-GB" w:eastAsia="en-US"/>
              </w:rPr>
              <w:t>Power range for EIRP measurements considered at the conducted reference plane</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278A7E8D" w:rsidR="00C77EBF" w:rsidRPr="00BC6E8D" w:rsidRDefault="00C77EBF" w:rsidP="00C77EBF">
            <w:pPr>
              <w:rPr>
                <w:lang w:val="en-GB" w:eastAsia="en-US"/>
              </w:rPr>
            </w:pPr>
            <w:r>
              <w:rPr>
                <w:lang w:val="en-GB" w:eastAsia="en-US"/>
              </w:rPr>
              <w:t>no influence on discussed contributors</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7777777" w:rsidR="00C77EBF" w:rsidRPr="00BC6E8D" w:rsidRDefault="00C77EBF" w:rsidP="00C77EBF">
            <w:pPr>
              <w:rPr>
                <w:lang w:val="en-GB" w:eastAsia="en-US"/>
              </w:rPr>
            </w:pPr>
            <w:r w:rsidRPr="00BC6E8D">
              <w:rPr>
                <w:lang w:val="en-GB" w:eastAsia="en-US"/>
              </w:rPr>
              <w:t>Temperature variation impact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543F68AE" w:rsidR="00C77EBF" w:rsidRPr="00BC6E8D" w:rsidRDefault="00C77EBF" w:rsidP="00C77EBF">
            <w:pPr>
              <w:rPr>
                <w:lang w:val="en-GB" w:eastAsia="en-US"/>
              </w:rPr>
            </w:pPr>
            <w:r>
              <w:rPr>
                <w:lang w:val="en-GB" w:eastAsia="en-US"/>
              </w:rPr>
              <w:t>no influence on discussed contributors</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7777777" w:rsidR="00C77EBF" w:rsidRPr="00BC6E8D" w:rsidRDefault="00C77EBF" w:rsidP="00C77EBF">
            <w:pPr>
              <w:rPr>
                <w:lang w:val="en-GB" w:eastAsia="en-US"/>
              </w:rPr>
            </w:pPr>
            <w:r w:rsidRPr="00BC6E8D">
              <w:rPr>
                <w:lang w:val="en-GB" w:eastAsia="en-US"/>
              </w:rPr>
              <w:t>Spectral flatness</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4D2B995A" w:rsidR="00C77EBF" w:rsidRPr="00BC6E8D" w:rsidRDefault="00C77EBF" w:rsidP="00C77EBF">
            <w:pPr>
              <w:rPr>
                <w:lang w:val="en-GB" w:eastAsia="en-US"/>
              </w:rPr>
            </w:pPr>
            <w:r>
              <w:rPr>
                <w:lang w:val="en-GB" w:eastAsia="en-US"/>
              </w:rPr>
              <w:t>no influence on discussed contributors</w:t>
            </w:r>
          </w:p>
        </w:tc>
      </w:tr>
      <w:tr w:rsidR="00C77EBF" w:rsidRPr="00BC6E8D" w14:paraId="25F3E7FA"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D78BC22" w14:textId="77777777" w:rsidR="00C77EBF" w:rsidRPr="00BC6E8D" w:rsidRDefault="00C77EBF" w:rsidP="00C77EBF">
            <w:pPr>
              <w:rPr>
                <w:lang w:val="en-GB" w:eastAsia="en-US"/>
              </w:rPr>
            </w:pPr>
            <w:r w:rsidRPr="00BC6E8D">
              <w:rPr>
                <w:lang w:val="en-GB"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7BD64C33" w14:textId="77777777" w:rsidR="00C77EBF" w:rsidRPr="00BC6E8D" w:rsidRDefault="00C77EBF" w:rsidP="00C77EBF">
            <w:pPr>
              <w:rPr>
                <w:lang w:val="en-GB" w:eastAsia="en-US"/>
              </w:rPr>
            </w:pPr>
            <w:r w:rsidRPr="00BC6E8D">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67363749" w14:textId="4FEACEF3" w:rsidR="00C77EBF" w:rsidRPr="00BC6E8D" w:rsidRDefault="00C77EBF" w:rsidP="00C77EBF">
            <w:pPr>
              <w:rPr>
                <w:lang w:val="en-GB" w:eastAsia="en-US"/>
              </w:rPr>
            </w:pPr>
            <w:r>
              <w:rPr>
                <w:lang w:val="en-GB" w:eastAsia="en-US"/>
              </w:rPr>
              <w:t>no influence on discussed contributors</w:t>
            </w:r>
          </w:p>
        </w:tc>
      </w:tr>
    </w:tbl>
    <w:p w14:paraId="003BC964" w14:textId="77777777" w:rsidR="00BC6E8D" w:rsidRPr="00BC6E8D" w:rsidRDefault="00BC6E8D" w:rsidP="00BC6E8D">
      <w:pPr>
        <w:rPr>
          <w:lang w:val="en-GB" w:eastAsia="en-US"/>
        </w:rPr>
      </w:pPr>
    </w:p>
    <w:bookmarkEnd w:id="1"/>
    <w:bookmarkEnd w:id="2"/>
    <w:p w14:paraId="7F705E55" w14:textId="656C3BCF" w:rsidR="00AA56D9" w:rsidRPr="00B55C47" w:rsidRDefault="00AA56D9" w:rsidP="00AA56D9">
      <w:pPr>
        <w:pStyle w:val="berschrift1"/>
        <w:rPr>
          <w:lang w:val="en-US"/>
        </w:rPr>
      </w:pPr>
      <w:r w:rsidRPr="00B55C47">
        <w:rPr>
          <w:lang w:val="en-US"/>
        </w:rPr>
        <w:tab/>
        <w:t>Conclusion</w:t>
      </w:r>
    </w:p>
    <w:p w14:paraId="043F6814" w14:textId="07A9675D" w:rsidR="00AA56D9" w:rsidRDefault="00D00445" w:rsidP="00AA56D9">
      <w:pPr>
        <w:rPr>
          <w:lang w:eastAsia="en-US"/>
        </w:rPr>
      </w:pPr>
      <w:r w:rsidRPr="00B55C47">
        <w:rPr>
          <w:lang w:eastAsia="en-US"/>
        </w:rPr>
        <w:t xml:space="preserve">In summary, the </w:t>
      </w:r>
      <w:r w:rsidR="00BC6E8D">
        <w:rPr>
          <w:lang w:eastAsia="en-US"/>
        </w:rPr>
        <w:t xml:space="preserve">contributor </w:t>
      </w:r>
      <w:r w:rsidR="007E1EF4">
        <w:rPr>
          <w:lang w:eastAsia="en-US"/>
        </w:rPr>
        <w:t>p</w:t>
      </w:r>
      <w:r w:rsidR="007E1EF4" w:rsidRPr="007E1EF4">
        <w:rPr>
          <w:lang w:eastAsia="en-US"/>
        </w:rPr>
        <w:t xml:space="preserve">ositioning misalignment </w:t>
      </w:r>
      <w:r w:rsidR="00BC6E8D">
        <w:rPr>
          <w:lang w:eastAsia="en-US"/>
        </w:rPr>
        <w:t xml:space="preserve">has been </w:t>
      </w:r>
      <w:r w:rsidR="007E1EF4">
        <w:rPr>
          <w:lang w:eastAsia="en-US"/>
        </w:rPr>
        <w:t>analyzed.</w:t>
      </w:r>
      <w:r w:rsidR="00BC6E8D">
        <w:rPr>
          <w:lang w:eastAsia="en-US"/>
        </w:rPr>
        <w:t xml:space="preserve"> </w:t>
      </w:r>
    </w:p>
    <w:p w14:paraId="6528BF92" w14:textId="77777777" w:rsidR="008029D6" w:rsidRPr="00C17423" w:rsidRDefault="008029D6" w:rsidP="008029D6">
      <w:pPr>
        <w:rPr>
          <w:b/>
          <w:lang w:eastAsia="en-US"/>
        </w:rPr>
      </w:pPr>
      <w:bookmarkStart w:id="4" w:name="_Ref473660868"/>
      <w:bookmarkStart w:id="5" w:name="_Ref473660708"/>
      <w:bookmarkStart w:id="6" w:name="OLE_LINK6"/>
      <w:bookmarkStart w:id="7" w:name="OLE_LINK7"/>
      <w:r w:rsidRPr="00C17423">
        <w:rPr>
          <w:b/>
          <w:lang w:eastAsia="en-US"/>
        </w:rPr>
        <w:t>Observation</w:t>
      </w:r>
      <w:r>
        <w:rPr>
          <w:b/>
          <w:lang w:eastAsia="en-US"/>
        </w:rPr>
        <w:t xml:space="preserve"> 1</w:t>
      </w:r>
      <w:r w:rsidRPr="00C17423">
        <w:rPr>
          <w:b/>
          <w:lang w:eastAsia="en-US"/>
        </w:rPr>
        <w:t>: Positioning misalignment describes the</w:t>
      </w:r>
      <w:r>
        <w:rPr>
          <w:b/>
          <w:lang w:eastAsia="en-US"/>
        </w:rPr>
        <w:t xml:space="preserve"> measurement uncertainty due to the</w:t>
      </w:r>
      <w:r w:rsidRPr="00C17423">
        <w:rPr>
          <w:b/>
          <w:lang w:eastAsia="en-US"/>
        </w:rPr>
        <w:t xml:space="preserve"> repeatability of the positioning system</w:t>
      </w:r>
      <w:r>
        <w:rPr>
          <w:b/>
          <w:lang w:eastAsia="en-US"/>
        </w:rPr>
        <w:t xml:space="preserve"> </w:t>
      </w:r>
      <w:r w:rsidRPr="00C17423">
        <w:rPr>
          <w:b/>
          <w:lang w:eastAsia="en-US"/>
        </w:rPr>
        <w:t xml:space="preserve">which </w:t>
      </w:r>
      <w:r>
        <w:rPr>
          <w:b/>
          <w:lang w:eastAsia="en-US"/>
        </w:rPr>
        <w:t>may be</w:t>
      </w:r>
      <w:r w:rsidRPr="00C17423">
        <w:rPr>
          <w:b/>
          <w:lang w:eastAsia="en-US"/>
        </w:rPr>
        <w:t xml:space="preserve"> limited by back lash. However, the effect due to back lash is </w:t>
      </w:r>
      <w:r>
        <w:rPr>
          <w:b/>
          <w:lang w:eastAsia="en-US"/>
        </w:rPr>
        <w:t>negligibly small.</w:t>
      </w:r>
    </w:p>
    <w:p w14:paraId="35D51642" w14:textId="20A5D988" w:rsidR="00A236DD" w:rsidRPr="00780B7D" w:rsidRDefault="00A236DD" w:rsidP="00A236DD">
      <w:pPr>
        <w:rPr>
          <w:b/>
          <w:lang w:eastAsia="en-US"/>
        </w:rPr>
      </w:pPr>
      <w:r w:rsidRPr="00C17423">
        <w:rPr>
          <w:b/>
          <w:lang w:eastAsia="en-US"/>
        </w:rPr>
        <w:t>Proposal</w:t>
      </w:r>
      <w:r>
        <w:rPr>
          <w:b/>
          <w:lang w:eastAsia="en-US"/>
        </w:rPr>
        <w:t xml:space="preserve"> </w:t>
      </w:r>
      <w:r w:rsidR="00975650">
        <w:rPr>
          <w:b/>
          <w:lang w:eastAsia="en-US"/>
        </w:rPr>
        <w:t>1</w:t>
      </w:r>
      <w:r w:rsidRPr="00C17423">
        <w:rPr>
          <w:b/>
          <w:lang w:eastAsia="en-US"/>
        </w:rPr>
        <w:t xml:space="preserve">: Set the value of positioning misalignment to </w:t>
      </w:r>
      <w:r>
        <w:rPr>
          <w:b/>
          <w:lang w:eastAsia="en-US"/>
        </w:rPr>
        <w:t>0 dB</w:t>
      </w:r>
      <w:r w:rsidRPr="00C17423">
        <w:rPr>
          <w:b/>
          <w:lang w:eastAsia="en-US"/>
        </w:rPr>
        <w:t>.</w:t>
      </w: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p w14:paraId="6AED9EF5" w14:textId="51E254CA" w:rsidR="00E446E8" w:rsidRDefault="006B5C72" w:rsidP="007C2A8D">
      <w:pPr>
        <w:pStyle w:val="Listenabsatz"/>
        <w:numPr>
          <w:ilvl w:val="0"/>
          <w:numId w:val="4"/>
        </w:numPr>
        <w:spacing w:after="0" w:line="240" w:lineRule="auto"/>
        <w:rPr>
          <w:lang w:val="en-GB"/>
        </w:rPr>
      </w:pPr>
      <w:r>
        <w:rPr>
          <w:lang w:val="en-GB"/>
        </w:rPr>
        <w:t xml:space="preserve">R5-188061, </w:t>
      </w:r>
      <w:r w:rsidRPr="006B5C72">
        <w:rPr>
          <w:lang w:val="en-GB"/>
        </w:rPr>
        <w:t>Discussion on Measurement Uncertainty in FR2</w:t>
      </w:r>
      <w:r w:rsidR="00BF3FA7" w:rsidRPr="00B55C47">
        <w:rPr>
          <w:lang w:val="en-GB"/>
        </w:rPr>
        <w:t>,</w:t>
      </w:r>
      <w:r w:rsidR="005F0749">
        <w:rPr>
          <w:lang w:val="en-GB"/>
        </w:rPr>
        <w:t xml:space="preserve"> Rohde &amp; Schwarz,</w:t>
      </w:r>
      <w:r w:rsidR="00062ECE" w:rsidRPr="00B55C47">
        <w:rPr>
          <w:lang w:val="en-GB"/>
        </w:rPr>
        <w:t xml:space="preserve"> </w:t>
      </w:r>
      <w:r w:rsidR="00E446E8" w:rsidRPr="00B55C47">
        <w:rPr>
          <w:lang w:val="en-GB"/>
        </w:rPr>
        <w:t>3</w:t>
      </w:r>
      <w:r w:rsidR="00E446E8" w:rsidRPr="003B026C">
        <w:rPr>
          <w:lang w:val="en-GB"/>
        </w:rPr>
        <w:t>GPP TSG RAN WG</w:t>
      </w:r>
      <w:r w:rsidR="005F0749">
        <w:rPr>
          <w:lang w:val="en-GB"/>
        </w:rPr>
        <w:t>5 Meeting #81</w:t>
      </w:r>
      <w:r w:rsidR="00E446E8" w:rsidRPr="003B026C">
        <w:rPr>
          <w:lang w:val="en-GB"/>
        </w:rPr>
        <w:t xml:space="preserve">, </w:t>
      </w:r>
      <w:r w:rsidR="005F0749">
        <w:rPr>
          <w:lang w:val="en-GB"/>
        </w:rPr>
        <w:t>November</w:t>
      </w:r>
      <w:r w:rsidR="00E446E8" w:rsidRPr="003B026C">
        <w:rPr>
          <w:lang w:val="en-GB"/>
        </w:rPr>
        <w:t xml:space="preserve"> 2018</w:t>
      </w:r>
    </w:p>
    <w:p w14:paraId="7250BB81" w14:textId="35257229" w:rsidR="00A20F66" w:rsidRPr="007E1EF4" w:rsidRDefault="00A20F66" w:rsidP="007C2A8D">
      <w:pPr>
        <w:pStyle w:val="Listenabsatz"/>
        <w:numPr>
          <w:ilvl w:val="0"/>
          <w:numId w:val="4"/>
        </w:numPr>
        <w:spacing w:after="0" w:line="240" w:lineRule="auto"/>
        <w:rPr>
          <w:lang w:val="en-GB"/>
        </w:rPr>
      </w:pPr>
      <w:r w:rsidRPr="007E1EF4">
        <w:rPr>
          <w:lang w:val="en-GB"/>
        </w:rPr>
        <w:t>TR 38.903, V15.</w:t>
      </w:r>
      <w:r w:rsidR="005F0749" w:rsidRPr="007E1EF4">
        <w:rPr>
          <w:lang w:val="en-GB"/>
        </w:rPr>
        <w:t>1</w:t>
      </w:r>
      <w:r w:rsidRPr="007E1EF4">
        <w:rPr>
          <w:lang w:val="en-GB"/>
        </w:rPr>
        <w:t xml:space="preserve">.0, 3GPP TSG RAN WG5, </w:t>
      </w:r>
      <w:r w:rsidR="005F0749" w:rsidRPr="007E1EF4">
        <w:rPr>
          <w:lang w:val="en-GB"/>
        </w:rPr>
        <w:t>December</w:t>
      </w:r>
      <w:r w:rsidRPr="007E1EF4">
        <w:rPr>
          <w:lang w:val="en-GB"/>
        </w:rPr>
        <w:t xml:space="preserve"> 2018</w:t>
      </w:r>
    </w:p>
    <w:p w14:paraId="78995ACB" w14:textId="578C0948" w:rsidR="00C77EBF" w:rsidRPr="007E1EF4" w:rsidRDefault="005F6633" w:rsidP="007C2A8D">
      <w:pPr>
        <w:pStyle w:val="Listenabsatz"/>
        <w:numPr>
          <w:ilvl w:val="0"/>
          <w:numId w:val="4"/>
        </w:numPr>
        <w:spacing w:after="0" w:line="240" w:lineRule="auto"/>
        <w:rPr>
          <w:lang w:val="en-GB"/>
        </w:rPr>
      </w:pPr>
      <w:r w:rsidRPr="007E1EF4">
        <w:rPr>
          <w:lang w:val="en-GB"/>
        </w:rPr>
        <w:t>TR 38.810, V16.1.0, 3GPP TSG RAN WG4, December 2018</w:t>
      </w:r>
      <w:bookmarkEnd w:id="4"/>
      <w:bookmarkEnd w:id="5"/>
      <w:bookmarkEnd w:id="6"/>
      <w:bookmarkEnd w:id="7"/>
    </w:p>
    <w:sectPr w:rsidR="00C77EBF" w:rsidRPr="007E1EF4"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45937" w14:textId="77777777" w:rsidR="00F651F2" w:rsidRDefault="00F651F2" w:rsidP="00371D7D">
      <w:r>
        <w:separator/>
      </w:r>
    </w:p>
  </w:endnote>
  <w:endnote w:type="continuationSeparator" w:id="0">
    <w:p w14:paraId="038CD083" w14:textId="77777777" w:rsidR="00F651F2" w:rsidRDefault="00F651F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432A57" w:rsidRDefault="00432A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11EA327" w:rsidR="00432A57" w:rsidRPr="000E7B1E" w:rsidRDefault="00432A5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B254A5">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432A57" w:rsidRDefault="00432A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2A5BA" w14:textId="77777777" w:rsidR="00F651F2" w:rsidRDefault="00F651F2" w:rsidP="00371D7D">
      <w:r>
        <w:separator/>
      </w:r>
    </w:p>
  </w:footnote>
  <w:footnote w:type="continuationSeparator" w:id="0">
    <w:p w14:paraId="76AFC0E3" w14:textId="77777777" w:rsidR="00F651F2" w:rsidRDefault="00F651F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432A57" w:rsidRDefault="00432A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432A57" w:rsidRDefault="00432A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432A57" w:rsidRDefault="00432A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4187"/>
    <w:rsid w:val="0004547C"/>
    <w:rsid w:val="00045894"/>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2BDD"/>
    <w:rsid w:val="000C46D4"/>
    <w:rsid w:val="000C4F6E"/>
    <w:rsid w:val="000C6E65"/>
    <w:rsid w:val="000C7078"/>
    <w:rsid w:val="000C7318"/>
    <w:rsid w:val="000C7565"/>
    <w:rsid w:val="000D0908"/>
    <w:rsid w:val="000D0E8E"/>
    <w:rsid w:val="000D0EAF"/>
    <w:rsid w:val="000D347D"/>
    <w:rsid w:val="000D4A19"/>
    <w:rsid w:val="000D68AB"/>
    <w:rsid w:val="000D79F1"/>
    <w:rsid w:val="000E00AB"/>
    <w:rsid w:val="000E0AB9"/>
    <w:rsid w:val="000E444E"/>
    <w:rsid w:val="000E75B0"/>
    <w:rsid w:val="000E7B1E"/>
    <w:rsid w:val="000F07A2"/>
    <w:rsid w:val="000F2169"/>
    <w:rsid w:val="000F6436"/>
    <w:rsid w:val="00100D39"/>
    <w:rsid w:val="0010135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1C91"/>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27814"/>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E5C"/>
    <w:rsid w:val="003D34A5"/>
    <w:rsid w:val="003D51E6"/>
    <w:rsid w:val="003D602B"/>
    <w:rsid w:val="003D7784"/>
    <w:rsid w:val="003D7B2C"/>
    <w:rsid w:val="003E12B0"/>
    <w:rsid w:val="003E2565"/>
    <w:rsid w:val="003E5779"/>
    <w:rsid w:val="003F0E6E"/>
    <w:rsid w:val="003F1A78"/>
    <w:rsid w:val="003F2D2A"/>
    <w:rsid w:val="003F6AB7"/>
    <w:rsid w:val="004002C9"/>
    <w:rsid w:val="004033E9"/>
    <w:rsid w:val="004120AE"/>
    <w:rsid w:val="004137F2"/>
    <w:rsid w:val="004149E9"/>
    <w:rsid w:val="00420D58"/>
    <w:rsid w:val="00423201"/>
    <w:rsid w:val="004257E2"/>
    <w:rsid w:val="0043036D"/>
    <w:rsid w:val="004324FB"/>
    <w:rsid w:val="004325A5"/>
    <w:rsid w:val="00432A57"/>
    <w:rsid w:val="004340EB"/>
    <w:rsid w:val="00434839"/>
    <w:rsid w:val="004372AD"/>
    <w:rsid w:val="00442027"/>
    <w:rsid w:val="00442365"/>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7700"/>
    <w:rsid w:val="004A04A5"/>
    <w:rsid w:val="004A2F58"/>
    <w:rsid w:val="004A3D93"/>
    <w:rsid w:val="004A4033"/>
    <w:rsid w:val="004A5815"/>
    <w:rsid w:val="004A60F7"/>
    <w:rsid w:val="004A79DF"/>
    <w:rsid w:val="004B0619"/>
    <w:rsid w:val="004B0EE9"/>
    <w:rsid w:val="004B4C96"/>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6B4"/>
    <w:rsid w:val="004F27A7"/>
    <w:rsid w:val="004F36A7"/>
    <w:rsid w:val="004F4D21"/>
    <w:rsid w:val="004F593F"/>
    <w:rsid w:val="004F697D"/>
    <w:rsid w:val="004F7D33"/>
    <w:rsid w:val="005023AD"/>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7E7"/>
    <w:rsid w:val="00533FBD"/>
    <w:rsid w:val="00534096"/>
    <w:rsid w:val="005346EC"/>
    <w:rsid w:val="00534B99"/>
    <w:rsid w:val="005356CB"/>
    <w:rsid w:val="005374EC"/>
    <w:rsid w:val="00537AA4"/>
    <w:rsid w:val="00542862"/>
    <w:rsid w:val="005430C7"/>
    <w:rsid w:val="005466D7"/>
    <w:rsid w:val="005478DC"/>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74348"/>
    <w:rsid w:val="00583905"/>
    <w:rsid w:val="00586465"/>
    <w:rsid w:val="00590023"/>
    <w:rsid w:val="00594B54"/>
    <w:rsid w:val="005964E4"/>
    <w:rsid w:val="005A04AB"/>
    <w:rsid w:val="005A09F0"/>
    <w:rsid w:val="005C1279"/>
    <w:rsid w:val="005C517E"/>
    <w:rsid w:val="005C5210"/>
    <w:rsid w:val="005C576D"/>
    <w:rsid w:val="005C72FD"/>
    <w:rsid w:val="005C7C01"/>
    <w:rsid w:val="005D21DE"/>
    <w:rsid w:val="005D278E"/>
    <w:rsid w:val="005D36C5"/>
    <w:rsid w:val="005D37FD"/>
    <w:rsid w:val="005D3C2A"/>
    <w:rsid w:val="005D4744"/>
    <w:rsid w:val="005D4B7F"/>
    <w:rsid w:val="005D5F80"/>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F1A"/>
    <w:rsid w:val="00667A9C"/>
    <w:rsid w:val="00670CFC"/>
    <w:rsid w:val="0067274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5286"/>
    <w:rsid w:val="00706CB9"/>
    <w:rsid w:val="00707FFC"/>
    <w:rsid w:val="00712BF6"/>
    <w:rsid w:val="00712C12"/>
    <w:rsid w:val="007138CB"/>
    <w:rsid w:val="00713CDE"/>
    <w:rsid w:val="007174F8"/>
    <w:rsid w:val="00720003"/>
    <w:rsid w:val="00720FB7"/>
    <w:rsid w:val="00724558"/>
    <w:rsid w:val="007246E4"/>
    <w:rsid w:val="00725DCB"/>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6D6B"/>
    <w:rsid w:val="00780B7D"/>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780"/>
    <w:rsid w:val="008829FA"/>
    <w:rsid w:val="00882F18"/>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26B6"/>
    <w:rsid w:val="009943F3"/>
    <w:rsid w:val="0099496E"/>
    <w:rsid w:val="009955B7"/>
    <w:rsid w:val="00997680"/>
    <w:rsid w:val="009A1270"/>
    <w:rsid w:val="009A246E"/>
    <w:rsid w:val="009B1044"/>
    <w:rsid w:val="009B225E"/>
    <w:rsid w:val="009B3EA0"/>
    <w:rsid w:val="009C0CB9"/>
    <w:rsid w:val="009C2950"/>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36DD"/>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3DB3"/>
    <w:rsid w:val="00A73DEC"/>
    <w:rsid w:val="00A76246"/>
    <w:rsid w:val="00A76DBE"/>
    <w:rsid w:val="00A76DEB"/>
    <w:rsid w:val="00A777EC"/>
    <w:rsid w:val="00A802ED"/>
    <w:rsid w:val="00A8281C"/>
    <w:rsid w:val="00A8311E"/>
    <w:rsid w:val="00A83A48"/>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3E63"/>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54A5"/>
    <w:rsid w:val="00B277E9"/>
    <w:rsid w:val="00B27923"/>
    <w:rsid w:val="00B30F45"/>
    <w:rsid w:val="00B319AF"/>
    <w:rsid w:val="00B31F06"/>
    <w:rsid w:val="00B337D5"/>
    <w:rsid w:val="00B35629"/>
    <w:rsid w:val="00B37C19"/>
    <w:rsid w:val="00B413A7"/>
    <w:rsid w:val="00B42131"/>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ECF"/>
    <w:rsid w:val="00BD4781"/>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247"/>
    <w:rsid w:val="00C45B5A"/>
    <w:rsid w:val="00C47016"/>
    <w:rsid w:val="00C478DD"/>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415C"/>
    <w:rsid w:val="00CB4E6E"/>
    <w:rsid w:val="00CB63DF"/>
    <w:rsid w:val="00CB6C80"/>
    <w:rsid w:val="00CC40C2"/>
    <w:rsid w:val="00CC6B35"/>
    <w:rsid w:val="00CC6DB6"/>
    <w:rsid w:val="00CD04C0"/>
    <w:rsid w:val="00CD1034"/>
    <w:rsid w:val="00CD46C7"/>
    <w:rsid w:val="00CD6B1A"/>
    <w:rsid w:val="00CE0D0F"/>
    <w:rsid w:val="00CE2567"/>
    <w:rsid w:val="00CE50A5"/>
    <w:rsid w:val="00CE5E64"/>
    <w:rsid w:val="00CE6A12"/>
    <w:rsid w:val="00CE7B33"/>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4015"/>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524F"/>
    <w:rsid w:val="00DD6E41"/>
    <w:rsid w:val="00DD74FF"/>
    <w:rsid w:val="00DE3025"/>
    <w:rsid w:val="00DE4E25"/>
    <w:rsid w:val="00DE6819"/>
    <w:rsid w:val="00DF11A3"/>
    <w:rsid w:val="00DF19E8"/>
    <w:rsid w:val="00DF443F"/>
    <w:rsid w:val="00DF66C6"/>
    <w:rsid w:val="00E00CA2"/>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617F3"/>
    <w:rsid w:val="00E61903"/>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5070"/>
    <w:rsid w:val="00F651F2"/>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2F159-AC9D-499D-8AE8-F462963A2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3373</Characters>
  <Application>Microsoft Office Word</Application>
  <DocSecurity>0</DocSecurity>
  <Lines>28</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2019-01-08T12:37:00Z</dcterms:created>
  <dcterms:modified xsi:type="dcterms:W3CDTF">2019-01-15T09:47:00Z</dcterms:modified>
  <cp:category/>
</cp:coreProperties>
</file>